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19EA8B" w14:textId="77777777" w:rsidR="00322F03" w:rsidRPr="00C65BBC" w:rsidRDefault="00322F03" w:rsidP="00322F03">
      <w:pPr>
        <w:spacing w:line="276" w:lineRule="auto"/>
        <w:jc w:val="center"/>
        <w:rPr>
          <w:b/>
        </w:rPr>
      </w:pPr>
      <w:r w:rsidRPr="00C65BBC">
        <w:rPr>
          <w:b/>
        </w:rPr>
        <w:t xml:space="preserve">SOCIAL STATISTICS </w:t>
      </w:r>
      <w:r w:rsidRPr="00C65BBC">
        <w:rPr>
          <w:b/>
        </w:rPr>
        <w:br/>
        <w:t>SOC 24100</w:t>
      </w:r>
    </w:p>
    <w:p w14:paraId="2E47B92E" w14:textId="77777777" w:rsidR="00322F03" w:rsidRPr="00C65BBC" w:rsidRDefault="00322F03" w:rsidP="00322F03">
      <w:pPr>
        <w:jc w:val="center"/>
        <w:rPr>
          <w:b/>
        </w:rPr>
      </w:pPr>
    </w:p>
    <w:p w14:paraId="1097D5A8" w14:textId="7EA4B442" w:rsidR="00322F03" w:rsidRPr="00C65BBC" w:rsidRDefault="00322F03" w:rsidP="00322F03">
      <w:pPr>
        <w:jc w:val="center"/>
        <w:rPr>
          <w:i/>
        </w:rPr>
      </w:pPr>
      <w:r w:rsidRPr="00C65BBC">
        <w:rPr>
          <w:i/>
        </w:rPr>
        <w:t>Homework #4</w:t>
      </w:r>
    </w:p>
    <w:p w14:paraId="2BEC4D7F" w14:textId="5A80E46A" w:rsidR="00322F03" w:rsidRPr="00C65BBC" w:rsidRDefault="00C37B56" w:rsidP="00322F03">
      <w:pPr>
        <w:jc w:val="center"/>
      </w:pPr>
      <w:r w:rsidRPr="00C65BBC">
        <w:t xml:space="preserve">Mara Joseph </w:t>
      </w:r>
    </w:p>
    <w:p w14:paraId="1DC7AC26" w14:textId="1023E807" w:rsidR="00C37B56" w:rsidRPr="00C65BBC" w:rsidRDefault="00C37B56" w:rsidP="00322F03">
      <w:pPr>
        <w:jc w:val="center"/>
      </w:pPr>
    </w:p>
    <w:p w14:paraId="4C890D30" w14:textId="77777777" w:rsidR="00C37B56" w:rsidRPr="00C65BBC" w:rsidRDefault="00C37B56" w:rsidP="00322F03">
      <w:pPr>
        <w:jc w:val="center"/>
      </w:pPr>
    </w:p>
    <w:p w14:paraId="6D16CCF1" w14:textId="77777777" w:rsidR="00131046" w:rsidRPr="00C65BBC" w:rsidRDefault="00131046" w:rsidP="00131046">
      <w:pPr>
        <w:pStyle w:val="ListParagraph"/>
      </w:pPr>
    </w:p>
    <w:p w14:paraId="1EC13170" w14:textId="77777777" w:rsidR="00131046" w:rsidRPr="00C65BBC" w:rsidRDefault="00131046" w:rsidP="00131046">
      <w:r w:rsidRPr="00C65BBC">
        <w:t>Questions:</w:t>
      </w:r>
    </w:p>
    <w:p w14:paraId="74926123" w14:textId="77777777" w:rsidR="000A08B4" w:rsidRPr="00C65BBC" w:rsidRDefault="000A08B4" w:rsidP="000A08B4">
      <w:pPr>
        <w:numPr>
          <w:ilvl w:val="0"/>
          <w:numId w:val="3"/>
        </w:numPr>
        <w:rPr>
          <w:b/>
          <w:i/>
        </w:rPr>
      </w:pPr>
      <w:r w:rsidRPr="00C65BBC">
        <w:rPr>
          <w:b/>
          <w:i/>
        </w:rPr>
        <w:t>Fill in the following table with a “yes” or “no” in each cell of the table, representing whether the measure of variability to the left can be calculated for a variable with the level of measurement above the cell.</w:t>
      </w:r>
    </w:p>
    <w:p w14:paraId="2EA5788C" w14:textId="77777777" w:rsidR="00EA3A12" w:rsidRPr="00C65BBC" w:rsidRDefault="00EA3A12" w:rsidP="00EA3A12">
      <w:pPr>
        <w:ind w:left="360"/>
      </w:pPr>
    </w:p>
    <w:tbl>
      <w:tblPr>
        <w:tblStyle w:val="TableGrid"/>
        <w:tblW w:w="7067" w:type="dxa"/>
        <w:tblLook w:val="0000" w:firstRow="0" w:lastRow="0" w:firstColumn="0" w:lastColumn="0" w:noHBand="0" w:noVBand="0"/>
      </w:tblPr>
      <w:tblGrid>
        <w:gridCol w:w="3145"/>
        <w:gridCol w:w="1934"/>
        <w:gridCol w:w="1988"/>
      </w:tblGrid>
      <w:tr w:rsidR="00355823" w:rsidRPr="00C65BBC" w14:paraId="217CCB5B" w14:textId="77777777" w:rsidTr="00355823">
        <w:trPr>
          <w:trHeight w:val="717"/>
        </w:trPr>
        <w:tc>
          <w:tcPr>
            <w:tcW w:w="3145" w:type="dxa"/>
            <w:vAlign w:val="center"/>
          </w:tcPr>
          <w:p w14:paraId="1D0E5E04" w14:textId="77777777" w:rsidR="00355823" w:rsidRPr="00C65BBC" w:rsidRDefault="00355823" w:rsidP="007D33BD">
            <w:pPr>
              <w:jc w:val="center"/>
            </w:pPr>
          </w:p>
        </w:tc>
        <w:tc>
          <w:tcPr>
            <w:tcW w:w="1934" w:type="dxa"/>
            <w:vAlign w:val="center"/>
          </w:tcPr>
          <w:p w14:paraId="4B397A0C" w14:textId="77777777" w:rsidR="00355823" w:rsidRPr="00C65BBC" w:rsidRDefault="00355823" w:rsidP="007D33BD">
            <w:pPr>
              <w:jc w:val="center"/>
            </w:pPr>
            <w:r w:rsidRPr="00C65BBC">
              <w:t>Ordinal Variable</w:t>
            </w:r>
          </w:p>
        </w:tc>
        <w:tc>
          <w:tcPr>
            <w:tcW w:w="1988" w:type="dxa"/>
            <w:vAlign w:val="center"/>
          </w:tcPr>
          <w:p w14:paraId="770BF9D8" w14:textId="77777777" w:rsidR="00355823" w:rsidRPr="00C65BBC" w:rsidRDefault="00355823" w:rsidP="007D33BD">
            <w:pPr>
              <w:jc w:val="center"/>
            </w:pPr>
            <w:r w:rsidRPr="00C65BBC">
              <w:t>Interval-Ratio Variable</w:t>
            </w:r>
          </w:p>
        </w:tc>
      </w:tr>
      <w:tr w:rsidR="00355823" w:rsidRPr="00C65BBC" w14:paraId="3C29F029" w14:textId="77777777" w:rsidTr="00355823">
        <w:trPr>
          <w:trHeight w:val="461"/>
        </w:trPr>
        <w:tc>
          <w:tcPr>
            <w:tcW w:w="3145" w:type="dxa"/>
            <w:vAlign w:val="center"/>
          </w:tcPr>
          <w:p w14:paraId="4B922D83" w14:textId="77777777" w:rsidR="00355823" w:rsidRPr="00C65BBC" w:rsidRDefault="00355823" w:rsidP="007D33BD">
            <w:pPr>
              <w:ind w:left="360"/>
            </w:pPr>
            <w:r w:rsidRPr="00C65BBC">
              <w:t>Range</w:t>
            </w:r>
          </w:p>
        </w:tc>
        <w:tc>
          <w:tcPr>
            <w:tcW w:w="1934" w:type="dxa"/>
          </w:tcPr>
          <w:p w14:paraId="41E8D10F" w14:textId="17A1BA33" w:rsidR="00355823" w:rsidRPr="00C65BBC" w:rsidRDefault="00801708" w:rsidP="00EA3A12">
            <w:pPr>
              <w:jc w:val="center"/>
            </w:pPr>
            <w:r w:rsidRPr="00C65BBC">
              <w:t>Yes</w:t>
            </w:r>
          </w:p>
        </w:tc>
        <w:tc>
          <w:tcPr>
            <w:tcW w:w="1988" w:type="dxa"/>
          </w:tcPr>
          <w:p w14:paraId="1BA8F774" w14:textId="35F6609C" w:rsidR="00801708" w:rsidRPr="00C65BBC" w:rsidRDefault="00801708" w:rsidP="00801708">
            <w:pPr>
              <w:ind w:left="360"/>
            </w:pPr>
            <w:r w:rsidRPr="00C65BBC">
              <w:t>No</w:t>
            </w:r>
          </w:p>
        </w:tc>
      </w:tr>
      <w:tr w:rsidR="00355823" w:rsidRPr="00C65BBC" w14:paraId="2AA9600A" w14:textId="77777777" w:rsidTr="00355823">
        <w:trPr>
          <w:trHeight w:val="461"/>
        </w:trPr>
        <w:tc>
          <w:tcPr>
            <w:tcW w:w="3145" w:type="dxa"/>
            <w:vAlign w:val="center"/>
          </w:tcPr>
          <w:p w14:paraId="2FEF38A0" w14:textId="2FC865CE" w:rsidR="00355823" w:rsidRPr="00C65BBC" w:rsidRDefault="00355823" w:rsidP="007D33BD">
            <w:pPr>
              <w:ind w:left="360"/>
            </w:pPr>
            <w:r w:rsidRPr="00C65BBC">
              <w:t>IQR</w:t>
            </w:r>
          </w:p>
        </w:tc>
        <w:tc>
          <w:tcPr>
            <w:tcW w:w="1934" w:type="dxa"/>
          </w:tcPr>
          <w:p w14:paraId="075C22E7" w14:textId="47E5132B" w:rsidR="00355823" w:rsidRPr="00C65BBC" w:rsidRDefault="00801708" w:rsidP="00EA3A12">
            <w:pPr>
              <w:jc w:val="center"/>
            </w:pPr>
            <w:r w:rsidRPr="00C65BBC">
              <w:t>Yes</w:t>
            </w:r>
          </w:p>
        </w:tc>
        <w:tc>
          <w:tcPr>
            <w:tcW w:w="1988" w:type="dxa"/>
          </w:tcPr>
          <w:p w14:paraId="74B3A40C" w14:textId="3CD21787" w:rsidR="00801708" w:rsidRPr="00C65BBC" w:rsidRDefault="00801708" w:rsidP="00801708">
            <w:pPr>
              <w:ind w:left="360"/>
            </w:pPr>
            <w:r w:rsidRPr="00C65BBC">
              <w:t>No</w:t>
            </w:r>
          </w:p>
        </w:tc>
      </w:tr>
      <w:tr w:rsidR="00355823" w:rsidRPr="00C65BBC" w14:paraId="461030AD" w14:textId="77777777" w:rsidTr="00355823">
        <w:trPr>
          <w:trHeight w:val="461"/>
        </w:trPr>
        <w:tc>
          <w:tcPr>
            <w:tcW w:w="3145" w:type="dxa"/>
            <w:vAlign w:val="center"/>
          </w:tcPr>
          <w:p w14:paraId="3ED626E4" w14:textId="0D118B73" w:rsidR="00355823" w:rsidRPr="00C65BBC" w:rsidRDefault="00355823" w:rsidP="007D33BD">
            <w:pPr>
              <w:ind w:left="360"/>
            </w:pPr>
            <w:r w:rsidRPr="00C65BBC">
              <w:t>Variance</w:t>
            </w:r>
          </w:p>
        </w:tc>
        <w:tc>
          <w:tcPr>
            <w:tcW w:w="1934" w:type="dxa"/>
          </w:tcPr>
          <w:p w14:paraId="389EC8B4" w14:textId="62DD5FC5" w:rsidR="00355823" w:rsidRPr="00C65BBC" w:rsidRDefault="00801708" w:rsidP="00EA3A12">
            <w:pPr>
              <w:jc w:val="center"/>
            </w:pPr>
            <w:r w:rsidRPr="00C65BBC">
              <w:t>No</w:t>
            </w:r>
          </w:p>
        </w:tc>
        <w:tc>
          <w:tcPr>
            <w:tcW w:w="1988" w:type="dxa"/>
          </w:tcPr>
          <w:p w14:paraId="3E866CFE" w14:textId="61AFFE94" w:rsidR="00355823" w:rsidRPr="00C65BBC" w:rsidRDefault="00801708" w:rsidP="00EA3A12">
            <w:pPr>
              <w:ind w:left="360"/>
            </w:pPr>
            <w:r w:rsidRPr="00C65BBC">
              <w:t>Yes</w:t>
            </w:r>
          </w:p>
        </w:tc>
      </w:tr>
      <w:tr w:rsidR="00355823" w:rsidRPr="00C65BBC" w14:paraId="03957626" w14:textId="77777777" w:rsidTr="00355823">
        <w:trPr>
          <w:trHeight w:val="495"/>
        </w:trPr>
        <w:tc>
          <w:tcPr>
            <w:tcW w:w="3145" w:type="dxa"/>
            <w:vAlign w:val="center"/>
          </w:tcPr>
          <w:p w14:paraId="762845F8" w14:textId="77777777" w:rsidR="00355823" w:rsidRPr="00C65BBC" w:rsidRDefault="00355823" w:rsidP="007D33BD">
            <w:pPr>
              <w:ind w:left="360"/>
            </w:pPr>
            <w:r w:rsidRPr="00C65BBC">
              <w:t>Standard Deviation</w:t>
            </w:r>
          </w:p>
        </w:tc>
        <w:tc>
          <w:tcPr>
            <w:tcW w:w="1934" w:type="dxa"/>
          </w:tcPr>
          <w:p w14:paraId="0211353B" w14:textId="37C650D4" w:rsidR="00355823" w:rsidRPr="00C65BBC" w:rsidRDefault="00801708" w:rsidP="00EA3A12">
            <w:pPr>
              <w:jc w:val="center"/>
            </w:pPr>
            <w:r w:rsidRPr="00C65BBC">
              <w:t>No</w:t>
            </w:r>
          </w:p>
        </w:tc>
        <w:tc>
          <w:tcPr>
            <w:tcW w:w="1988" w:type="dxa"/>
          </w:tcPr>
          <w:p w14:paraId="6933CEE7" w14:textId="4E179F6B" w:rsidR="00355823" w:rsidRPr="00C65BBC" w:rsidRDefault="00801708" w:rsidP="00EA3A12">
            <w:pPr>
              <w:ind w:left="360"/>
            </w:pPr>
            <w:r w:rsidRPr="00C65BBC">
              <w:t>Yes</w:t>
            </w:r>
          </w:p>
        </w:tc>
      </w:tr>
    </w:tbl>
    <w:p w14:paraId="17E24E73" w14:textId="77777777" w:rsidR="00EA3A12" w:rsidRPr="00C65BBC" w:rsidRDefault="00EA3A12" w:rsidP="00EA3A12">
      <w:pPr>
        <w:ind w:left="360"/>
      </w:pPr>
    </w:p>
    <w:p w14:paraId="5FE83F8F" w14:textId="77777777" w:rsidR="00B6039A" w:rsidRPr="00C65BBC" w:rsidRDefault="00B6039A" w:rsidP="00EA3A12">
      <w:pPr>
        <w:ind w:left="360"/>
      </w:pPr>
    </w:p>
    <w:p w14:paraId="6BDB2A1D" w14:textId="7D6184A8" w:rsidR="000A08B4" w:rsidRPr="00C65BBC" w:rsidRDefault="00F31FD6" w:rsidP="000A08B4">
      <w:pPr>
        <w:numPr>
          <w:ilvl w:val="0"/>
          <w:numId w:val="3"/>
        </w:numPr>
        <w:rPr>
          <w:b/>
          <w:i/>
        </w:rPr>
      </w:pPr>
      <w:r w:rsidRPr="00C65BBC">
        <w:rPr>
          <w:b/>
          <w:i/>
        </w:rPr>
        <w:t>Why is it important to calculate measures of variability?</w:t>
      </w:r>
    </w:p>
    <w:p w14:paraId="212B0C41" w14:textId="04C5C84C" w:rsidR="00CB1C08" w:rsidRPr="00C65BBC" w:rsidRDefault="00CB1C08" w:rsidP="00CB1C08">
      <w:pPr>
        <w:ind w:left="720"/>
      </w:pPr>
      <w:r w:rsidRPr="00C65BBC">
        <w:t xml:space="preserve">Calculating measures of variability is important in varied ways. </w:t>
      </w:r>
      <w:r w:rsidR="002F2470" w:rsidRPr="00C65BBC">
        <w:t xml:space="preserve"> These include:</w:t>
      </w:r>
    </w:p>
    <w:p w14:paraId="678C1974" w14:textId="77777777" w:rsidR="00CB1C08" w:rsidRPr="00C65BBC" w:rsidRDefault="00CB1C08" w:rsidP="00576478">
      <w:pPr>
        <w:pStyle w:val="ListParagraph"/>
        <w:numPr>
          <w:ilvl w:val="0"/>
          <w:numId w:val="5"/>
        </w:numPr>
      </w:pPr>
      <w:r w:rsidRPr="00C65BBC">
        <w:t>Describing the distribution of data. It tells whether the affiliated data scores are clustered together or they spread out over a huge distance</w:t>
      </w:r>
    </w:p>
    <w:p w14:paraId="29688F43" w14:textId="2C843904" w:rsidR="00576478" w:rsidRPr="00C65BBC" w:rsidRDefault="00CB1C08" w:rsidP="00576478">
      <w:pPr>
        <w:pStyle w:val="ListParagraph"/>
        <w:numPr>
          <w:ilvl w:val="0"/>
          <w:numId w:val="5"/>
        </w:numPr>
      </w:pPr>
      <w:r w:rsidRPr="00C65BBC">
        <w:t>T</w:t>
      </w:r>
      <w:r w:rsidR="00576478" w:rsidRPr="00C65BBC">
        <w:t>he determination and understanding present dat</w:t>
      </w:r>
      <w:r w:rsidR="00937D84" w:rsidRPr="00C65BBC">
        <w:t>a and the reconciliation with the future data.</w:t>
      </w:r>
    </w:p>
    <w:p w14:paraId="1A9CF186" w14:textId="4EB9AB2A" w:rsidR="002562FF" w:rsidRPr="00C65BBC" w:rsidRDefault="002562FF" w:rsidP="00576478">
      <w:pPr>
        <w:pStyle w:val="ListParagraph"/>
        <w:numPr>
          <w:ilvl w:val="0"/>
          <w:numId w:val="5"/>
        </w:numPr>
      </w:pPr>
      <w:r w:rsidRPr="00C65BBC">
        <w:t>The calculation of range helps in understanding th</w:t>
      </w:r>
      <w:r w:rsidR="009F4EA4" w:rsidRPr="00C65BBC">
        <w:t>e variation of the central data after determination.</w:t>
      </w:r>
    </w:p>
    <w:p w14:paraId="16FD7380" w14:textId="29D3E7D4" w:rsidR="00690366" w:rsidRPr="00C65BBC" w:rsidRDefault="00690366" w:rsidP="00576478">
      <w:pPr>
        <w:pStyle w:val="ListParagraph"/>
        <w:numPr>
          <w:ilvl w:val="0"/>
          <w:numId w:val="5"/>
        </w:numPr>
      </w:pPr>
      <w:r w:rsidRPr="00C65BBC">
        <w:t>Calculation of the median helps in identification of the position of central data.</w:t>
      </w:r>
    </w:p>
    <w:p w14:paraId="1444AE00" w14:textId="2822F303" w:rsidR="00690366" w:rsidRPr="00C65BBC" w:rsidRDefault="00690366" w:rsidP="00576478">
      <w:pPr>
        <w:pStyle w:val="ListParagraph"/>
        <w:numPr>
          <w:ilvl w:val="0"/>
          <w:numId w:val="5"/>
        </w:numPr>
      </w:pPr>
      <w:r w:rsidRPr="00C65BBC">
        <w:t>Calculation of mode determines the frequency of data in a distribution table.</w:t>
      </w:r>
    </w:p>
    <w:p w14:paraId="53B37F2E" w14:textId="32A1B186" w:rsidR="00690366" w:rsidRPr="00C65BBC" w:rsidRDefault="00690366" w:rsidP="00576478">
      <w:pPr>
        <w:pStyle w:val="ListParagraph"/>
        <w:numPr>
          <w:ilvl w:val="0"/>
          <w:numId w:val="5"/>
        </w:numPr>
      </w:pPr>
      <w:r w:rsidRPr="00C65BBC">
        <w:t>Percentiles calculation help in indicating how the values of data spread over intervals, normally from a small value to a large value.</w:t>
      </w:r>
    </w:p>
    <w:p w14:paraId="00243814" w14:textId="18DC9139" w:rsidR="002F2470" w:rsidRPr="00C65BBC" w:rsidRDefault="002F2470" w:rsidP="00576478">
      <w:pPr>
        <w:pStyle w:val="ListParagraph"/>
        <w:numPr>
          <w:ilvl w:val="0"/>
          <w:numId w:val="5"/>
        </w:numPr>
      </w:pPr>
      <w:r w:rsidRPr="00C65BBC">
        <w:t xml:space="preserve">Helps to give a summery how data entries </w:t>
      </w:r>
      <w:r w:rsidR="00C65BBC" w:rsidRPr="00C65BBC">
        <w:t>represent</w:t>
      </w:r>
      <w:r w:rsidRPr="00C65BBC">
        <w:t xml:space="preserve"> the entire distribution.</w:t>
      </w:r>
    </w:p>
    <w:p w14:paraId="2D883CEB" w14:textId="77777777" w:rsidR="00576478" w:rsidRPr="00C65BBC" w:rsidRDefault="00576478" w:rsidP="00576478">
      <w:pPr>
        <w:ind w:left="720"/>
      </w:pPr>
    </w:p>
    <w:p w14:paraId="51EB7A38" w14:textId="77777777" w:rsidR="00F31FD6" w:rsidRPr="00C65BBC" w:rsidRDefault="00F31FD6" w:rsidP="00F31FD6">
      <w:pPr>
        <w:ind w:left="360"/>
      </w:pPr>
    </w:p>
    <w:p w14:paraId="51BC8E89" w14:textId="77777777" w:rsidR="00B6039A" w:rsidRPr="00C65BBC" w:rsidRDefault="00E26AAF" w:rsidP="00E26AAF">
      <w:pPr>
        <w:pStyle w:val="ListParagraph"/>
        <w:numPr>
          <w:ilvl w:val="0"/>
          <w:numId w:val="3"/>
        </w:numPr>
        <w:rPr>
          <w:b/>
          <w:i/>
        </w:rPr>
      </w:pPr>
      <w:r w:rsidRPr="00C65BBC">
        <w:rPr>
          <w:b/>
          <w:i/>
        </w:rPr>
        <w:t>If Professor Taylor and Professor Silver both taught sections of statistics, and their final grade</w:t>
      </w:r>
      <w:r w:rsidR="004B3807" w:rsidRPr="00C65BBC">
        <w:rPr>
          <w:b/>
          <w:i/>
        </w:rPr>
        <w:t xml:space="preserve"> distributions</w:t>
      </w:r>
      <w:r w:rsidRPr="00C65BBC">
        <w:rPr>
          <w:b/>
          <w:i/>
        </w:rPr>
        <w:t xml:space="preserve"> had the following central tendencies and variability, whose class would you rather be in? Why?</w:t>
      </w:r>
    </w:p>
    <w:p w14:paraId="49B4EF97" w14:textId="77777777" w:rsidR="00E26AAF" w:rsidRPr="00C65BBC" w:rsidRDefault="00E26AAF" w:rsidP="00E26AAF">
      <w:pPr>
        <w:pStyle w:val="ListParagraph"/>
      </w:pPr>
    </w:p>
    <w:tbl>
      <w:tblPr>
        <w:tblStyle w:val="TableGrid"/>
        <w:tblW w:w="7066" w:type="dxa"/>
        <w:tblInd w:w="795" w:type="dxa"/>
        <w:tblLook w:val="0000" w:firstRow="0" w:lastRow="0" w:firstColumn="0" w:lastColumn="0" w:noHBand="0" w:noVBand="0"/>
      </w:tblPr>
      <w:tblGrid>
        <w:gridCol w:w="3145"/>
        <w:gridCol w:w="1987"/>
        <w:gridCol w:w="1934"/>
      </w:tblGrid>
      <w:tr w:rsidR="00E26AAF" w:rsidRPr="00C65BBC" w14:paraId="38F83494" w14:textId="77777777" w:rsidTr="00B75AF2">
        <w:trPr>
          <w:trHeight w:val="717"/>
        </w:trPr>
        <w:tc>
          <w:tcPr>
            <w:tcW w:w="3145" w:type="dxa"/>
            <w:shd w:val="clear" w:color="auto" w:fill="F2F2F2" w:themeFill="background1" w:themeFillShade="F2"/>
            <w:vAlign w:val="center"/>
          </w:tcPr>
          <w:p w14:paraId="3D585B2F" w14:textId="77777777" w:rsidR="00E26AAF" w:rsidRPr="00C65BBC" w:rsidRDefault="00E26AAF" w:rsidP="00AE7303">
            <w:pPr>
              <w:jc w:val="center"/>
            </w:pPr>
          </w:p>
        </w:tc>
        <w:tc>
          <w:tcPr>
            <w:tcW w:w="1987" w:type="dxa"/>
            <w:shd w:val="clear" w:color="auto" w:fill="F2F2F2" w:themeFill="background1" w:themeFillShade="F2"/>
            <w:vAlign w:val="center"/>
          </w:tcPr>
          <w:p w14:paraId="01AEE010" w14:textId="2E339B4A" w:rsidR="00E26AAF" w:rsidRPr="00C65BBC" w:rsidRDefault="00E26AAF" w:rsidP="00AE7303">
            <w:pPr>
              <w:jc w:val="center"/>
            </w:pPr>
            <w:r w:rsidRPr="00C65BBC">
              <w:t xml:space="preserve">Professor </w:t>
            </w:r>
            <w:r w:rsidR="00DC7253" w:rsidRPr="00C65BBC">
              <w:t>Silver</w:t>
            </w:r>
          </w:p>
        </w:tc>
        <w:tc>
          <w:tcPr>
            <w:tcW w:w="1934" w:type="dxa"/>
            <w:shd w:val="clear" w:color="auto" w:fill="F2F2F2" w:themeFill="background1" w:themeFillShade="F2"/>
            <w:vAlign w:val="center"/>
          </w:tcPr>
          <w:p w14:paraId="2CD66BF4" w14:textId="4BA852C7" w:rsidR="00E26AAF" w:rsidRPr="00C65BBC" w:rsidRDefault="00E26AAF" w:rsidP="00AE7303">
            <w:pPr>
              <w:jc w:val="center"/>
            </w:pPr>
            <w:r w:rsidRPr="00C65BBC">
              <w:t xml:space="preserve">Professor </w:t>
            </w:r>
            <w:r w:rsidR="00DC7253" w:rsidRPr="00C65BBC">
              <w:t>Taylor</w:t>
            </w:r>
          </w:p>
        </w:tc>
      </w:tr>
      <w:tr w:rsidR="00E26AAF" w:rsidRPr="00C65BBC" w14:paraId="38B23F6B" w14:textId="77777777" w:rsidTr="00E26AAF">
        <w:trPr>
          <w:trHeight w:val="461"/>
        </w:trPr>
        <w:tc>
          <w:tcPr>
            <w:tcW w:w="3145" w:type="dxa"/>
            <w:vAlign w:val="center"/>
          </w:tcPr>
          <w:p w14:paraId="2505E071" w14:textId="77777777" w:rsidR="00E26AAF" w:rsidRPr="00C65BBC" w:rsidRDefault="00E26AAF" w:rsidP="00AE7303">
            <w:pPr>
              <w:ind w:left="360"/>
            </w:pPr>
            <w:r w:rsidRPr="00C65BBC">
              <w:t>Mean</w:t>
            </w:r>
          </w:p>
        </w:tc>
        <w:tc>
          <w:tcPr>
            <w:tcW w:w="1987" w:type="dxa"/>
            <w:vAlign w:val="center"/>
          </w:tcPr>
          <w:p w14:paraId="6D801E3F" w14:textId="77777777" w:rsidR="00E26AAF" w:rsidRPr="00C65BBC" w:rsidRDefault="00E26AAF" w:rsidP="00E26AAF">
            <w:pPr>
              <w:jc w:val="center"/>
            </w:pPr>
            <w:r w:rsidRPr="00C65BBC">
              <w:t>83.57</w:t>
            </w:r>
          </w:p>
        </w:tc>
        <w:tc>
          <w:tcPr>
            <w:tcW w:w="1934" w:type="dxa"/>
            <w:vAlign w:val="center"/>
          </w:tcPr>
          <w:p w14:paraId="671556DD" w14:textId="77777777" w:rsidR="00E26AAF" w:rsidRPr="00C65BBC" w:rsidRDefault="00B75AF2" w:rsidP="00E26AAF">
            <w:pPr>
              <w:jc w:val="center"/>
            </w:pPr>
            <w:r w:rsidRPr="00C65BBC">
              <w:t>82.86</w:t>
            </w:r>
          </w:p>
        </w:tc>
      </w:tr>
      <w:tr w:rsidR="00E26AAF" w:rsidRPr="00C65BBC" w14:paraId="2781B095" w14:textId="77777777" w:rsidTr="00E26AAF">
        <w:trPr>
          <w:trHeight w:val="461"/>
        </w:trPr>
        <w:tc>
          <w:tcPr>
            <w:tcW w:w="3145" w:type="dxa"/>
            <w:vAlign w:val="center"/>
          </w:tcPr>
          <w:p w14:paraId="2937AB43" w14:textId="77777777" w:rsidR="00E26AAF" w:rsidRPr="00C65BBC" w:rsidRDefault="00E26AAF" w:rsidP="00AE7303">
            <w:pPr>
              <w:ind w:left="360"/>
            </w:pPr>
            <w:r w:rsidRPr="00C65BBC">
              <w:t>Median</w:t>
            </w:r>
          </w:p>
        </w:tc>
        <w:tc>
          <w:tcPr>
            <w:tcW w:w="1987" w:type="dxa"/>
            <w:vAlign w:val="center"/>
          </w:tcPr>
          <w:p w14:paraId="57B1F671" w14:textId="77777777" w:rsidR="00E26AAF" w:rsidRPr="00C65BBC" w:rsidRDefault="00E26AAF" w:rsidP="00E26AAF">
            <w:pPr>
              <w:jc w:val="center"/>
            </w:pPr>
            <w:r w:rsidRPr="00C65BBC">
              <w:t>95</w:t>
            </w:r>
          </w:p>
        </w:tc>
        <w:tc>
          <w:tcPr>
            <w:tcW w:w="1934" w:type="dxa"/>
            <w:vAlign w:val="center"/>
          </w:tcPr>
          <w:p w14:paraId="6148235E" w14:textId="77777777" w:rsidR="00E26AAF" w:rsidRPr="00C65BBC" w:rsidRDefault="00B75AF2" w:rsidP="00E26AAF">
            <w:pPr>
              <w:jc w:val="center"/>
            </w:pPr>
            <w:r w:rsidRPr="00C65BBC">
              <w:t>82</w:t>
            </w:r>
          </w:p>
        </w:tc>
      </w:tr>
      <w:tr w:rsidR="00E26AAF" w:rsidRPr="00C65BBC" w14:paraId="71E91D7A" w14:textId="77777777" w:rsidTr="00E26AAF">
        <w:trPr>
          <w:trHeight w:val="461"/>
        </w:trPr>
        <w:tc>
          <w:tcPr>
            <w:tcW w:w="3145" w:type="dxa"/>
            <w:vAlign w:val="center"/>
          </w:tcPr>
          <w:p w14:paraId="355FF907" w14:textId="77777777" w:rsidR="00E26AAF" w:rsidRPr="00C65BBC" w:rsidRDefault="00E26AAF" w:rsidP="00AE7303">
            <w:pPr>
              <w:ind w:left="360"/>
            </w:pPr>
            <w:r w:rsidRPr="00C65BBC">
              <w:t>Mode</w:t>
            </w:r>
          </w:p>
        </w:tc>
        <w:tc>
          <w:tcPr>
            <w:tcW w:w="1987" w:type="dxa"/>
            <w:vAlign w:val="center"/>
          </w:tcPr>
          <w:p w14:paraId="3DE16486" w14:textId="77777777" w:rsidR="00E26AAF" w:rsidRPr="00C65BBC" w:rsidRDefault="00E26AAF" w:rsidP="00E26AAF">
            <w:pPr>
              <w:jc w:val="center"/>
            </w:pPr>
            <w:r w:rsidRPr="00C65BBC">
              <w:t>98</w:t>
            </w:r>
          </w:p>
        </w:tc>
        <w:tc>
          <w:tcPr>
            <w:tcW w:w="1934" w:type="dxa"/>
            <w:vAlign w:val="center"/>
          </w:tcPr>
          <w:p w14:paraId="0ADA4080" w14:textId="77777777" w:rsidR="00E26AAF" w:rsidRPr="00C65BBC" w:rsidRDefault="00B75AF2" w:rsidP="00E26AAF">
            <w:pPr>
              <w:jc w:val="center"/>
            </w:pPr>
            <w:r w:rsidRPr="00C65BBC">
              <w:t>80</w:t>
            </w:r>
          </w:p>
        </w:tc>
      </w:tr>
      <w:tr w:rsidR="00E26AAF" w:rsidRPr="00C65BBC" w14:paraId="676EFB70" w14:textId="77777777" w:rsidTr="00E26AAF">
        <w:trPr>
          <w:trHeight w:val="461"/>
        </w:trPr>
        <w:tc>
          <w:tcPr>
            <w:tcW w:w="3145" w:type="dxa"/>
            <w:vAlign w:val="center"/>
          </w:tcPr>
          <w:p w14:paraId="171CCD41" w14:textId="77777777" w:rsidR="00E26AAF" w:rsidRPr="00C65BBC" w:rsidRDefault="00E26AAF" w:rsidP="00AE7303">
            <w:pPr>
              <w:ind w:left="360"/>
            </w:pPr>
            <w:r w:rsidRPr="00C65BBC">
              <w:t>Range</w:t>
            </w:r>
          </w:p>
        </w:tc>
        <w:tc>
          <w:tcPr>
            <w:tcW w:w="1987" w:type="dxa"/>
            <w:vAlign w:val="center"/>
          </w:tcPr>
          <w:p w14:paraId="46FAFADF" w14:textId="77777777" w:rsidR="00E26AAF" w:rsidRPr="00C65BBC" w:rsidRDefault="00E26AAF" w:rsidP="00E26AAF">
            <w:pPr>
              <w:jc w:val="center"/>
            </w:pPr>
            <w:r w:rsidRPr="00C65BBC">
              <w:t>50 to 99</w:t>
            </w:r>
          </w:p>
        </w:tc>
        <w:tc>
          <w:tcPr>
            <w:tcW w:w="1934" w:type="dxa"/>
            <w:vAlign w:val="center"/>
          </w:tcPr>
          <w:p w14:paraId="2577290F" w14:textId="77777777" w:rsidR="00E26AAF" w:rsidRPr="00C65BBC" w:rsidRDefault="00B75AF2" w:rsidP="00E26AAF">
            <w:pPr>
              <w:jc w:val="center"/>
            </w:pPr>
            <w:r w:rsidRPr="00C65BBC">
              <w:t>80 to 88</w:t>
            </w:r>
          </w:p>
        </w:tc>
      </w:tr>
      <w:tr w:rsidR="00E26AAF" w:rsidRPr="00C65BBC" w14:paraId="1CA1B718" w14:textId="77777777" w:rsidTr="00E26AAF">
        <w:trPr>
          <w:trHeight w:val="461"/>
        </w:trPr>
        <w:tc>
          <w:tcPr>
            <w:tcW w:w="3145" w:type="dxa"/>
            <w:vAlign w:val="center"/>
          </w:tcPr>
          <w:p w14:paraId="27B0F379" w14:textId="77777777" w:rsidR="00E26AAF" w:rsidRPr="00C65BBC" w:rsidRDefault="00E26AAF" w:rsidP="00AE7303">
            <w:pPr>
              <w:ind w:left="360"/>
            </w:pPr>
            <w:r w:rsidRPr="00C65BBC">
              <w:t>IQR</w:t>
            </w:r>
          </w:p>
        </w:tc>
        <w:tc>
          <w:tcPr>
            <w:tcW w:w="1987" w:type="dxa"/>
            <w:vAlign w:val="center"/>
          </w:tcPr>
          <w:p w14:paraId="4A791F21" w14:textId="77777777" w:rsidR="00E26AAF" w:rsidRPr="00C65BBC" w:rsidRDefault="00B75AF2" w:rsidP="00E26AAF">
            <w:pPr>
              <w:jc w:val="center"/>
            </w:pPr>
            <w:r w:rsidRPr="00C65BBC">
              <w:t>70 to 98</w:t>
            </w:r>
          </w:p>
        </w:tc>
        <w:tc>
          <w:tcPr>
            <w:tcW w:w="1934" w:type="dxa"/>
            <w:vAlign w:val="center"/>
          </w:tcPr>
          <w:p w14:paraId="23AC1B58" w14:textId="77777777" w:rsidR="00E26AAF" w:rsidRPr="00C65BBC" w:rsidRDefault="00B75AF2" w:rsidP="00E26AAF">
            <w:pPr>
              <w:jc w:val="center"/>
            </w:pPr>
            <w:r w:rsidRPr="00C65BBC">
              <w:t>80 to 85</w:t>
            </w:r>
          </w:p>
        </w:tc>
      </w:tr>
      <w:tr w:rsidR="00E26AAF" w:rsidRPr="00C65BBC" w14:paraId="61571BA6" w14:textId="77777777" w:rsidTr="00E26AAF">
        <w:trPr>
          <w:trHeight w:val="461"/>
        </w:trPr>
        <w:tc>
          <w:tcPr>
            <w:tcW w:w="3145" w:type="dxa"/>
            <w:vAlign w:val="center"/>
          </w:tcPr>
          <w:p w14:paraId="02F9C912" w14:textId="77777777" w:rsidR="00E26AAF" w:rsidRPr="00C65BBC" w:rsidRDefault="00E26AAF" w:rsidP="00AE7303">
            <w:pPr>
              <w:ind w:left="360"/>
            </w:pPr>
            <w:r w:rsidRPr="00C65BBC">
              <w:t>Variance</w:t>
            </w:r>
          </w:p>
        </w:tc>
        <w:tc>
          <w:tcPr>
            <w:tcW w:w="1987" w:type="dxa"/>
            <w:vAlign w:val="center"/>
          </w:tcPr>
          <w:p w14:paraId="43A3779A" w14:textId="77777777" w:rsidR="00E26AAF" w:rsidRPr="00C65BBC" w:rsidRDefault="00B75AF2" w:rsidP="00E26AAF">
            <w:pPr>
              <w:jc w:val="center"/>
            </w:pPr>
            <w:r w:rsidRPr="00C65BBC">
              <w:t>309.96</w:t>
            </w:r>
          </w:p>
        </w:tc>
        <w:tc>
          <w:tcPr>
            <w:tcW w:w="1934" w:type="dxa"/>
            <w:vAlign w:val="center"/>
          </w:tcPr>
          <w:p w14:paraId="71303466" w14:textId="77777777" w:rsidR="00E26AAF" w:rsidRPr="00C65BBC" w:rsidRDefault="00B75AF2" w:rsidP="00E26AAF">
            <w:pPr>
              <w:jc w:val="center"/>
            </w:pPr>
            <w:r w:rsidRPr="00C65BBC">
              <w:t>7.55</w:t>
            </w:r>
          </w:p>
        </w:tc>
      </w:tr>
      <w:tr w:rsidR="00E26AAF" w:rsidRPr="00C65BBC" w14:paraId="0F501BF2" w14:textId="77777777" w:rsidTr="00E26AAF">
        <w:trPr>
          <w:trHeight w:val="495"/>
        </w:trPr>
        <w:tc>
          <w:tcPr>
            <w:tcW w:w="3145" w:type="dxa"/>
            <w:vAlign w:val="center"/>
          </w:tcPr>
          <w:p w14:paraId="65CC8D0A" w14:textId="77777777" w:rsidR="00E26AAF" w:rsidRPr="00C65BBC" w:rsidRDefault="00E26AAF" w:rsidP="00AE7303">
            <w:pPr>
              <w:ind w:left="360"/>
            </w:pPr>
            <w:r w:rsidRPr="00C65BBC">
              <w:t>Standard Deviation</w:t>
            </w:r>
          </w:p>
        </w:tc>
        <w:tc>
          <w:tcPr>
            <w:tcW w:w="1987" w:type="dxa"/>
            <w:vAlign w:val="center"/>
          </w:tcPr>
          <w:p w14:paraId="734B9B63" w14:textId="77777777" w:rsidR="00E26AAF" w:rsidRPr="00C65BBC" w:rsidRDefault="00B75AF2" w:rsidP="00E26AAF">
            <w:pPr>
              <w:jc w:val="center"/>
            </w:pPr>
            <w:r w:rsidRPr="00C65BBC">
              <w:t>17.61</w:t>
            </w:r>
          </w:p>
        </w:tc>
        <w:tc>
          <w:tcPr>
            <w:tcW w:w="1934" w:type="dxa"/>
            <w:vAlign w:val="center"/>
          </w:tcPr>
          <w:p w14:paraId="36950E3D" w14:textId="77777777" w:rsidR="00E26AAF" w:rsidRPr="00C65BBC" w:rsidRDefault="00B75AF2" w:rsidP="00E26AAF">
            <w:pPr>
              <w:jc w:val="center"/>
            </w:pPr>
            <w:r w:rsidRPr="00C65BBC">
              <w:t>2.75</w:t>
            </w:r>
          </w:p>
        </w:tc>
      </w:tr>
    </w:tbl>
    <w:p w14:paraId="0F4CC7F7" w14:textId="77777777" w:rsidR="00B75AF2" w:rsidRPr="00C65BBC" w:rsidRDefault="00B75AF2" w:rsidP="00E26AAF"/>
    <w:p w14:paraId="7EB3AB65" w14:textId="5DBBE2E8" w:rsidR="004007D1" w:rsidRPr="00C65BBC" w:rsidRDefault="003F3C77" w:rsidP="003F3C77">
      <w:pPr>
        <w:jc w:val="both"/>
      </w:pPr>
      <w:r w:rsidRPr="00C65BBC">
        <w:t xml:space="preserve">I would rather be in Professor </w:t>
      </w:r>
      <w:r w:rsidR="007372F7" w:rsidRPr="00C65BBC">
        <w:t>Silver’s</w:t>
      </w:r>
      <w:r w:rsidR="002F2470" w:rsidRPr="00C65BBC">
        <w:t xml:space="preserve"> class. The data from </w:t>
      </w:r>
      <w:r w:rsidR="007B6C89" w:rsidRPr="00C65BBC">
        <w:t xml:space="preserve">his class shows mean of </w:t>
      </w:r>
      <w:r w:rsidR="007372F7" w:rsidRPr="00C65BBC">
        <w:t>83.57</w:t>
      </w:r>
      <w:r w:rsidR="007B6C89" w:rsidRPr="00C65BBC">
        <w:t xml:space="preserve"> and a median of </w:t>
      </w:r>
      <w:r w:rsidR="007372F7" w:rsidRPr="00C65BBC">
        <w:t>95</w:t>
      </w:r>
      <w:r w:rsidR="007B6C89" w:rsidRPr="00C65BBC">
        <w:t xml:space="preserve">, values which are literally </w:t>
      </w:r>
      <w:r w:rsidR="007372F7" w:rsidRPr="00C65BBC">
        <w:t>below</w:t>
      </w:r>
      <w:r w:rsidR="007B6C89" w:rsidRPr="00C65BBC">
        <w:t xml:space="preserve"> the mode</w:t>
      </w:r>
      <w:r w:rsidR="007372F7" w:rsidRPr="00C65BBC">
        <w:t xml:space="preserve"> 98</w:t>
      </w:r>
      <w:r w:rsidR="007B6C89" w:rsidRPr="00C65BBC">
        <w:t xml:space="preserve">. From analytical point of </w:t>
      </w:r>
      <w:r w:rsidR="007372F7" w:rsidRPr="00C65BBC">
        <w:t>view, data</w:t>
      </w:r>
      <w:r w:rsidR="007B6C89" w:rsidRPr="00C65BBC">
        <w:t xml:space="preserve"> from Professor </w:t>
      </w:r>
      <w:r w:rsidR="007372F7" w:rsidRPr="00C65BBC">
        <w:t>Silver’s</w:t>
      </w:r>
      <w:r w:rsidR="007B6C89" w:rsidRPr="00C65BBC">
        <w:t xml:space="preserve"> class is </w:t>
      </w:r>
      <w:r w:rsidR="007372F7" w:rsidRPr="00C65BBC">
        <w:t>negatively</w:t>
      </w:r>
      <w:r w:rsidR="007B6C89" w:rsidRPr="00C65BBC">
        <w:t xml:space="preserve"> skewed </w:t>
      </w:r>
      <w:r w:rsidR="007372F7" w:rsidRPr="00C65BBC">
        <w:t>and this shares an implication that the majority of students performed above average, a feature which should be highly cherished.</w:t>
      </w:r>
      <w:r w:rsidR="007B6C89" w:rsidRPr="00C65BBC">
        <w:t xml:space="preserve"> </w:t>
      </w:r>
      <w:r w:rsidR="007372F7" w:rsidRPr="00C65BBC">
        <w:t xml:space="preserve">Negative skewness </w:t>
      </w:r>
      <w:r w:rsidRPr="00C65BBC">
        <w:t xml:space="preserve">proves that </w:t>
      </w:r>
      <w:r w:rsidR="007372F7" w:rsidRPr="00C65BBC">
        <w:t>Professor Silver’s</w:t>
      </w:r>
      <w:r w:rsidRPr="00C65BBC">
        <w:t xml:space="preserve"> teaching methods guarantee understanding of the topic compared Professor </w:t>
      </w:r>
      <w:r w:rsidR="007372F7" w:rsidRPr="00C65BBC">
        <w:t>Taylor’s</w:t>
      </w:r>
      <w:r w:rsidR="00C65BBC" w:rsidRPr="00C65BBC">
        <w:t xml:space="preserve"> class, </w:t>
      </w:r>
      <w:r w:rsidRPr="00C65BBC">
        <w:t xml:space="preserve">whose data indicate a </w:t>
      </w:r>
      <w:r w:rsidR="007372F7" w:rsidRPr="00C65BBC">
        <w:t>positive skewness</w:t>
      </w:r>
      <w:r w:rsidRPr="00C65BBC">
        <w:t>.</w:t>
      </w:r>
      <w:r w:rsidR="0024329F" w:rsidRPr="00C65BBC">
        <w:t xml:space="preserve"> </w:t>
      </w:r>
      <w:r w:rsidR="007372F7" w:rsidRPr="00C65BBC">
        <w:t>I feel like I should belong to Silver’s class because I am a gifted and talented student and hence I expect my performance to be above average. I also anticipate that my performance would critically challenge peers to perform well, hence boosting the ultimate score.</w:t>
      </w:r>
    </w:p>
    <w:p w14:paraId="015B7251" w14:textId="2C3D2CE6" w:rsidR="002F2470" w:rsidRPr="00C65BBC" w:rsidRDefault="002F2470" w:rsidP="003F3C77">
      <w:pPr>
        <w:jc w:val="both"/>
      </w:pPr>
    </w:p>
    <w:p w14:paraId="41F0321F" w14:textId="36BFA7F1" w:rsidR="002F2470" w:rsidRPr="00C65BBC" w:rsidRDefault="002F2470" w:rsidP="003F3C77">
      <w:pPr>
        <w:jc w:val="both"/>
      </w:pPr>
    </w:p>
    <w:p w14:paraId="719A8E15" w14:textId="77777777" w:rsidR="002F2470" w:rsidRPr="00C65BBC" w:rsidRDefault="002F2470" w:rsidP="003F3C77">
      <w:pPr>
        <w:jc w:val="both"/>
      </w:pPr>
    </w:p>
    <w:p w14:paraId="0FA0194A" w14:textId="62583E33" w:rsidR="00AE5729" w:rsidRPr="00C65BBC" w:rsidRDefault="004007D1" w:rsidP="00AE5729">
      <w:pPr>
        <w:pStyle w:val="ListParagraph"/>
        <w:numPr>
          <w:ilvl w:val="0"/>
          <w:numId w:val="3"/>
        </w:numPr>
      </w:pPr>
      <w:r w:rsidRPr="00C65BBC">
        <w:rPr>
          <w:b/>
          <w:i/>
        </w:rPr>
        <w:t>Occupational prestige is a statistic developed by sociologists to measure the status of one’s occupation. Occupational prestige is also a component of what sociologists call socioeconomic status, a composite measure of one’ status in society. On average, people with more education tend to have higher occupational prestige than people with led education. We investigate this using GSS 2014 data.</w:t>
      </w:r>
    </w:p>
    <w:p w14:paraId="6E571AC4" w14:textId="77777777" w:rsidR="005D40BD" w:rsidRPr="00C65BBC" w:rsidRDefault="005D40BD" w:rsidP="005D40BD">
      <w:pPr>
        <w:pStyle w:val="ListParagraph"/>
      </w:pPr>
    </w:p>
    <w:p w14:paraId="2CEDB3B2" w14:textId="3C7F0EB4" w:rsidR="008C1C63" w:rsidRPr="00C65BBC" w:rsidRDefault="008C1C63" w:rsidP="008C1C63"/>
    <w:tbl>
      <w:tblPr>
        <w:tblStyle w:val="TableGrid"/>
        <w:tblW w:w="0" w:type="auto"/>
        <w:tblLook w:val="04A0" w:firstRow="1" w:lastRow="0" w:firstColumn="1" w:lastColumn="0" w:noHBand="0" w:noVBand="1"/>
      </w:tblPr>
      <w:tblGrid>
        <w:gridCol w:w="2888"/>
        <w:gridCol w:w="2864"/>
        <w:gridCol w:w="2878"/>
      </w:tblGrid>
      <w:tr w:rsidR="008C1C63" w:rsidRPr="00C65BBC" w14:paraId="47FC5C9C" w14:textId="77777777" w:rsidTr="00FC3354">
        <w:tc>
          <w:tcPr>
            <w:tcW w:w="8856" w:type="dxa"/>
            <w:gridSpan w:val="3"/>
          </w:tcPr>
          <w:p w14:paraId="094F7306" w14:textId="673D21DA" w:rsidR="008C1C63" w:rsidRPr="00C65BBC" w:rsidRDefault="008C1C63" w:rsidP="008C1C63">
            <w:pPr>
              <w:rPr>
                <w:b/>
              </w:rPr>
            </w:pPr>
            <w:r w:rsidRPr="00C65BBC">
              <w:rPr>
                <w:b/>
              </w:rPr>
              <w:t>Occupational Prestige by Highest Degree</w:t>
            </w:r>
          </w:p>
        </w:tc>
      </w:tr>
      <w:tr w:rsidR="008C1C63" w:rsidRPr="00C65BBC" w14:paraId="70A3D2D8" w14:textId="77777777" w:rsidTr="008C1C63">
        <w:tc>
          <w:tcPr>
            <w:tcW w:w="2952" w:type="dxa"/>
          </w:tcPr>
          <w:p w14:paraId="3DE70BA0" w14:textId="77777777" w:rsidR="008C1C63" w:rsidRPr="00C65BBC" w:rsidRDefault="008C1C63" w:rsidP="008C1C63">
            <w:pPr>
              <w:jc w:val="center"/>
              <w:rPr>
                <w:b/>
              </w:rPr>
            </w:pPr>
          </w:p>
        </w:tc>
        <w:tc>
          <w:tcPr>
            <w:tcW w:w="2952" w:type="dxa"/>
          </w:tcPr>
          <w:p w14:paraId="63B5C1CE" w14:textId="2B988AA5" w:rsidR="008C1C63" w:rsidRPr="00C65BBC" w:rsidRDefault="008C1C63" w:rsidP="008C1C63">
            <w:pPr>
              <w:jc w:val="center"/>
              <w:rPr>
                <w:b/>
              </w:rPr>
            </w:pPr>
            <w:r w:rsidRPr="00C65BBC">
              <w:rPr>
                <w:b/>
              </w:rPr>
              <w:t>High school Degree</w:t>
            </w:r>
          </w:p>
        </w:tc>
        <w:tc>
          <w:tcPr>
            <w:tcW w:w="2952" w:type="dxa"/>
          </w:tcPr>
          <w:p w14:paraId="4ED8DD04" w14:textId="735D5929" w:rsidR="008C1C63" w:rsidRPr="00C65BBC" w:rsidRDefault="008C1C63" w:rsidP="008C1C63">
            <w:pPr>
              <w:jc w:val="center"/>
              <w:rPr>
                <w:b/>
              </w:rPr>
            </w:pPr>
            <w:r w:rsidRPr="00C65BBC">
              <w:rPr>
                <w:b/>
              </w:rPr>
              <w:t>Bachelor’s Degree</w:t>
            </w:r>
          </w:p>
        </w:tc>
      </w:tr>
      <w:tr w:rsidR="008C1C63" w:rsidRPr="00C65BBC" w14:paraId="6706D8E2" w14:textId="77777777" w:rsidTr="008C1C63">
        <w:tc>
          <w:tcPr>
            <w:tcW w:w="2952" w:type="dxa"/>
          </w:tcPr>
          <w:p w14:paraId="57DC93FD" w14:textId="300AEAB3" w:rsidR="008C1C63" w:rsidRPr="00C65BBC" w:rsidRDefault="008C1C63" w:rsidP="008C1C63">
            <w:pPr>
              <w:rPr>
                <w:b/>
              </w:rPr>
            </w:pPr>
            <w:r w:rsidRPr="00C65BBC">
              <w:rPr>
                <w:b/>
              </w:rPr>
              <w:t>Mean</w:t>
            </w:r>
          </w:p>
        </w:tc>
        <w:tc>
          <w:tcPr>
            <w:tcW w:w="2952" w:type="dxa"/>
          </w:tcPr>
          <w:p w14:paraId="442643ED" w14:textId="52F3345B" w:rsidR="008C1C63" w:rsidRPr="00C65BBC" w:rsidRDefault="008C1C63" w:rsidP="008C1C63">
            <w:pPr>
              <w:jc w:val="center"/>
            </w:pPr>
            <w:r w:rsidRPr="00C65BBC">
              <w:t>38.82</w:t>
            </w:r>
          </w:p>
        </w:tc>
        <w:tc>
          <w:tcPr>
            <w:tcW w:w="2952" w:type="dxa"/>
          </w:tcPr>
          <w:p w14:paraId="0B08ADF9" w14:textId="6BB42650" w:rsidR="008C1C63" w:rsidRPr="00C65BBC" w:rsidRDefault="008C1C63" w:rsidP="008C1C63">
            <w:pPr>
              <w:jc w:val="center"/>
            </w:pPr>
            <w:r w:rsidRPr="00C65BBC">
              <w:t>50.02</w:t>
            </w:r>
          </w:p>
        </w:tc>
      </w:tr>
      <w:tr w:rsidR="008C1C63" w:rsidRPr="00C65BBC" w14:paraId="174568E5" w14:textId="77777777" w:rsidTr="008C1C63">
        <w:tc>
          <w:tcPr>
            <w:tcW w:w="2952" w:type="dxa"/>
          </w:tcPr>
          <w:p w14:paraId="0CBB557C" w14:textId="27530C2F" w:rsidR="008C1C63" w:rsidRPr="00C65BBC" w:rsidRDefault="008C1C63" w:rsidP="008C1C63">
            <w:pPr>
              <w:rPr>
                <w:b/>
              </w:rPr>
            </w:pPr>
            <w:r w:rsidRPr="00C65BBC">
              <w:rPr>
                <w:b/>
              </w:rPr>
              <w:t>Median</w:t>
            </w:r>
          </w:p>
        </w:tc>
        <w:tc>
          <w:tcPr>
            <w:tcW w:w="2952" w:type="dxa"/>
          </w:tcPr>
          <w:p w14:paraId="09CB216F" w14:textId="428BB27D" w:rsidR="008C1C63" w:rsidRPr="00C65BBC" w:rsidRDefault="008C1C63" w:rsidP="008C1C63">
            <w:pPr>
              <w:jc w:val="center"/>
            </w:pPr>
            <w:r w:rsidRPr="00C65BBC">
              <w:t>38.00</w:t>
            </w:r>
          </w:p>
        </w:tc>
        <w:tc>
          <w:tcPr>
            <w:tcW w:w="2952" w:type="dxa"/>
          </w:tcPr>
          <w:p w14:paraId="50CE5951" w14:textId="290F9E7F" w:rsidR="008C1C63" w:rsidRPr="00C65BBC" w:rsidRDefault="008C1C63" w:rsidP="008C1C63">
            <w:pPr>
              <w:jc w:val="center"/>
            </w:pPr>
            <w:r w:rsidRPr="00C65BBC">
              <w:t>50.00</w:t>
            </w:r>
          </w:p>
        </w:tc>
      </w:tr>
      <w:tr w:rsidR="008C1C63" w:rsidRPr="00C65BBC" w14:paraId="2043E5A7" w14:textId="77777777" w:rsidTr="008C1C63">
        <w:tc>
          <w:tcPr>
            <w:tcW w:w="2952" w:type="dxa"/>
          </w:tcPr>
          <w:p w14:paraId="5CD5E551" w14:textId="29AAACD4" w:rsidR="008C1C63" w:rsidRPr="00C65BBC" w:rsidRDefault="008C1C63" w:rsidP="008C1C63">
            <w:pPr>
              <w:rPr>
                <w:b/>
              </w:rPr>
            </w:pPr>
            <w:r w:rsidRPr="00C65BBC">
              <w:rPr>
                <w:b/>
              </w:rPr>
              <w:t>Variance</w:t>
            </w:r>
          </w:p>
        </w:tc>
        <w:tc>
          <w:tcPr>
            <w:tcW w:w="2952" w:type="dxa"/>
          </w:tcPr>
          <w:p w14:paraId="14CB433F" w14:textId="25DF2AB8" w:rsidR="008C1C63" w:rsidRPr="00C65BBC" w:rsidRDefault="008C1C63" w:rsidP="008C1C63">
            <w:pPr>
              <w:jc w:val="center"/>
            </w:pPr>
            <w:r w:rsidRPr="00C65BBC">
              <w:t>126.725</w:t>
            </w:r>
          </w:p>
        </w:tc>
        <w:tc>
          <w:tcPr>
            <w:tcW w:w="2952" w:type="dxa"/>
          </w:tcPr>
          <w:p w14:paraId="54DF942A" w14:textId="062ABB07" w:rsidR="008C1C63" w:rsidRPr="00C65BBC" w:rsidRDefault="008C1C63" w:rsidP="008C1C63">
            <w:pPr>
              <w:jc w:val="center"/>
            </w:pPr>
            <w:r w:rsidRPr="00C65BBC">
              <w:t>172.360</w:t>
            </w:r>
          </w:p>
        </w:tc>
      </w:tr>
      <w:tr w:rsidR="008C1C63" w:rsidRPr="00C65BBC" w14:paraId="2147F823" w14:textId="77777777" w:rsidTr="008C1C63">
        <w:tc>
          <w:tcPr>
            <w:tcW w:w="2952" w:type="dxa"/>
          </w:tcPr>
          <w:p w14:paraId="67CDFBB3" w14:textId="6B9BC877" w:rsidR="008C1C63" w:rsidRPr="00C65BBC" w:rsidRDefault="008C1C63" w:rsidP="008C1C63">
            <w:pPr>
              <w:rPr>
                <w:b/>
              </w:rPr>
            </w:pPr>
            <w:r w:rsidRPr="00C65BBC">
              <w:rPr>
                <w:b/>
              </w:rPr>
              <w:t>Standard Deviation</w:t>
            </w:r>
          </w:p>
        </w:tc>
        <w:tc>
          <w:tcPr>
            <w:tcW w:w="2952" w:type="dxa"/>
          </w:tcPr>
          <w:p w14:paraId="643DFF88" w14:textId="631D70E2" w:rsidR="008C1C63" w:rsidRPr="00C65BBC" w:rsidRDefault="008C1C63" w:rsidP="008C1C63">
            <w:pPr>
              <w:jc w:val="center"/>
            </w:pPr>
            <w:r w:rsidRPr="00C65BBC">
              <w:t>11.257</w:t>
            </w:r>
          </w:p>
        </w:tc>
        <w:tc>
          <w:tcPr>
            <w:tcW w:w="2952" w:type="dxa"/>
          </w:tcPr>
          <w:p w14:paraId="3980E7C3" w14:textId="1E9D1A12" w:rsidR="008C1C63" w:rsidRPr="00C65BBC" w:rsidRDefault="008C1C63" w:rsidP="008C1C63">
            <w:pPr>
              <w:jc w:val="center"/>
            </w:pPr>
            <w:r w:rsidRPr="00C65BBC">
              <w:t>13.125</w:t>
            </w:r>
          </w:p>
        </w:tc>
      </w:tr>
      <w:tr w:rsidR="008C1C63" w:rsidRPr="00C65BBC" w14:paraId="356D2A73" w14:textId="77777777" w:rsidTr="008C1C63">
        <w:tc>
          <w:tcPr>
            <w:tcW w:w="2952" w:type="dxa"/>
          </w:tcPr>
          <w:p w14:paraId="61071774" w14:textId="3393D59D" w:rsidR="008C1C63" w:rsidRPr="00C65BBC" w:rsidRDefault="008C1C63" w:rsidP="008C1C63">
            <w:pPr>
              <w:rPr>
                <w:b/>
              </w:rPr>
            </w:pPr>
            <w:r w:rsidRPr="00C65BBC">
              <w:rPr>
                <w:b/>
              </w:rPr>
              <w:t>Range</w:t>
            </w:r>
          </w:p>
        </w:tc>
        <w:tc>
          <w:tcPr>
            <w:tcW w:w="2952" w:type="dxa"/>
          </w:tcPr>
          <w:p w14:paraId="681B9494" w14:textId="2568D6B6" w:rsidR="008C1C63" w:rsidRPr="00C65BBC" w:rsidRDefault="008C1C63" w:rsidP="008C1C63">
            <w:pPr>
              <w:jc w:val="center"/>
            </w:pPr>
            <w:r w:rsidRPr="00C65BBC">
              <w:t>59</w:t>
            </w:r>
          </w:p>
        </w:tc>
        <w:tc>
          <w:tcPr>
            <w:tcW w:w="2952" w:type="dxa"/>
          </w:tcPr>
          <w:p w14:paraId="051FF0FF" w14:textId="5ACFA724" w:rsidR="008C1C63" w:rsidRPr="00C65BBC" w:rsidRDefault="008C1C63" w:rsidP="008C1C63">
            <w:pPr>
              <w:jc w:val="center"/>
            </w:pPr>
            <w:r w:rsidRPr="00C65BBC">
              <w:t>59</w:t>
            </w:r>
          </w:p>
        </w:tc>
      </w:tr>
      <w:tr w:rsidR="008C1C63" w:rsidRPr="00C65BBC" w14:paraId="1C594300" w14:textId="77777777" w:rsidTr="008C1C63">
        <w:tc>
          <w:tcPr>
            <w:tcW w:w="2952" w:type="dxa"/>
          </w:tcPr>
          <w:p w14:paraId="7C3D3F5F" w14:textId="1ADDB853" w:rsidR="008C1C63" w:rsidRPr="00C65BBC" w:rsidRDefault="008C1C63" w:rsidP="008C1C63">
            <w:pPr>
              <w:rPr>
                <w:b/>
              </w:rPr>
            </w:pPr>
            <w:r w:rsidRPr="00C65BBC">
              <w:rPr>
                <w:b/>
              </w:rPr>
              <w:t>Interquartile Range</w:t>
            </w:r>
          </w:p>
        </w:tc>
        <w:tc>
          <w:tcPr>
            <w:tcW w:w="2952" w:type="dxa"/>
          </w:tcPr>
          <w:p w14:paraId="54B5081C" w14:textId="7752BA17" w:rsidR="008C1C63" w:rsidRPr="00C65BBC" w:rsidRDefault="008C1C63" w:rsidP="008C1C63">
            <w:pPr>
              <w:jc w:val="center"/>
            </w:pPr>
            <w:r w:rsidRPr="00C65BBC">
              <w:t>16</w:t>
            </w:r>
          </w:p>
        </w:tc>
        <w:tc>
          <w:tcPr>
            <w:tcW w:w="2952" w:type="dxa"/>
          </w:tcPr>
          <w:p w14:paraId="400509E4" w14:textId="69847CBF" w:rsidR="008C1C63" w:rsidRPr="00C65BBC" w:rsidRDefault="008C1C63" w:rsidP="008C1C63">
            <w:pPr>
              <w:jc w:val="center"/>
            </w:pPr>
            <w:r w:rsidRPr="00C65BBC">
              <w:t>21</w:t>
            </w:r>
          </w:p>
        </w:tc>
      </w:tr>
    </w:tbl>
    <w:p w14:paraId="61A3F46B" w14:textId="51A48617" w:rsidR="008C1C63" w:rsidRPr="00C65BBC" w:rsidRDefault="008C1C63" w:rsidP="008C1C63"/>
    <w:p w14:paraId="1DA691DD" w14:textId="77777777" w:rsidR="008C1C63" w:rsidRPr="00C65BBC" w:rsidRDefault="008C1C63" w:rsidP="008C1C63">
      <w:pPr>
        <w:jc w:val="center"/>
      </w:pPr>
    </w:p>
    <w:p w14:paraId="4ED1DE1D" w14:textId="4BB45EC1" w:rsidR="004007D1" w:rsidRPr="00C65BBC" w:rsidRDefault="004007D1" w:rsidP="008C1C63">
      <w:pPr>
        <w:pStyle w:val="ListParagraph"/>
        <w:numPr>
          <w:ilvl w:val="1"/>
          <w:numId w:val="3"/>
        </w:numPr>
        <w:rPr>
          <w:b/>
          <w:i/>
        </w:rPr>
      </w:pPr>
      <w:r w:rsidRPr="00C65BBC">
        <w:rPr>
          <w:b/>
          <w:i/>
        </w:rPr>
        <w:t>Looking at the values of the mean and median, do you think the distribution of prestige is skewed for respondents with a high school diploma? For respondents with a bachelor’s degree?</w:t>
      </w:r>
    </w:p>
    <w:p w14:paraId="1E2FBE4F" w14:textId="648D5AB8" w:rsidR="00640C0E" w:rsidRPr="00C65BBC" w:rsidRDefault="00640C0E" w:rsidP="00640C0E">
      <w:pPr>
        <w:pStyle w:val="ListParagraph"/>
        <w:ind w:left="1440"/>
      </w:pPr>
      <w:r w:rsidRPr="00C65BBC">
        <w:t xml:space="preserve">The distribution of prestige is </w:t>
      </w:r>
      <w:r w:rsidR="00172C57" w:rsidRPr="00C65BBC">
        <w:t>positively</w:t>
      </w:r>
      <w:r w:rsidRPr="00C65BBC">
        <w:t xml:space="preserve"> skewed for resp</w:t>
      </w:r>
      <w:r w:rsidR="00172C57" w:rsidRPr="00C65BBC">
        <w:t xml:space="preserve">ondents of high school diploma because </w:t>
      </w:r>
      <w:r w:rsidRPr="00C65BBC">
        <w:t xml:space="preserve">the mean </w:t>
      </w:r>
      <w:r w:rsidR="00172C57" w:rsidRPr="00C65BBC">
        <w:t xml:space="preserve">is greater </w:t>
      </w:r>
      <w:r w:rsidRPr="00C65BBC">
        <w:t xml:space="preserve">than the median with 0.82. </w:t>
      </w:r>
    </w:p>
    <w:p w14:paraId="35F820BF" w14:textId="432EAC1C" w:rsidR="00640C0E" w:rsidRPr="00C65BBC" w:rsidRDefault="00640C0E" w:rsidP="00640C0E">
      <w:pPr>
        <w:pStyle w:val="ListParagraph"/>
        <w:ind w:left="1440"/>
      </w:pPr>
      <w:r w:rsidRPr="00C65BBC">
        <w:t xml:space="preserve">The distribution is also </w:t>
      </w:r>
      <w:r w:rsidR="00172C57" w:rsidRPr="00C65BBC">
        <w:t>positively</w:t>
      </w:r>
      <w:r w:rsidRPr="00C65BBC">
        <w:t xml:space="preserve"> skewed for the respondents w</w:t>
      </w:r>
      <w:r w:rsidR="00172C57" w:rsidRPr="00C65BBC">
        <w:t>ith a bachelor’s degree since t</w:t>
      </w:r>
      <w:r w:rsidRPr="00C65BBC">
        <w:t>he mean is greater than the median with a value of 0.02.</w:t>
      </w:r>
    </w:p>
    <w:p w14:paraId="2F506DAA" w14:textId="77777777" w:rsidR="004007D1" w:rsidRPr="00C65BBC" w:rsidRDefault="004007D1" w:rsidP="004007D1">
      <w:pPr>
        <w:pStyle w:val="ListParagraph"/>
        <w:ind w:left="1440"/>
      </w:pPr>
    </w:p>
    <w:p w14:paraId="2AC15EDE" w14:textId="63B39AD4" w:rsidR="008C1C63" w:rsidRPr="00C65BBC" w:rsidRDefault="004007D1" w:rsidP="008C1C63">
      <w:pPr>
        <w:pStyle w:val="ListParagraph"/>
        <w:numPr>
          <w:ilvl w:val="1"/>
          <w:numId w:val="3"/>
        </w:numPr>
        <w:rPr>
          <w:b/>
          <w:i/>
        </w:rPr>
      </w:pPr>
      <w:r w:rsidRPr="00C65BBC">
        <w:rPr>
          <w:b/>
          <w:i/>
        </w:rPr>
        <w:t>Explain why you think there is more variability of prestige for either group, or why the variability of prestige is similar for the two groups.</w:t>
      </w:r>
    </w:p>
    <w:p w14:paraId="2147C00A" w14:textId="0073EF18" w:rsidR="00296226" w:rsidRPr="00C65BBC" w:rsidRDefault="00296226" w:rsidP="00296226">
      <w:pPr>
        <w:pStyle w:val="ListParagraph"/>
        <w:ind w:left="1440"/>
      </w:pPr>
      <w:r w:rsidRPr="00C65BBC">
        <w:t xml:space="preserve">There is more variability for Prestige’s bachelor degree compared to its high school degree. Despite having the same range, the Bachelor’s degree </w:t>
      </w:r>
      <w:r w:rsidR="00172C57" w:rsidRPr="00C65BBC">
        <w:t>has</w:t>
      </w:r>
      <w:r w:rsidRPr="00C65BBC">
        <w:t xml:space="preserve"> high values of central data, variance, standard deviation and interquartile range.</w:t>
      </w:r>
    </w:p>
    <w:p w14:paraId="7C47B4AB" w14:textId="77777777" w:rsidR="008C1C63" w:rsidRPr="00C65BBC" w:rsidRDefault="008C1C63" w:rsidP="008C1C63"/>
    <w:p w14:paraId="6AAAE3D1" w14:textId="38F2BAAB" w:rsidR="00291FD8" w:rsidRPr="00C65BBC" w:rsidRDefault="00291FD8" w:rsidP="00E77D87"/>
    <w:p w14:paraId="52F0019F" w14:textId="5C7AFFE2" w:rsidR="00291FD8" w:rsidRPr="00C65BBC" w:rsidRDefault="00291FD8" w:rsidP="00E77D87"/>
    <w:p w14:paraId="75B77A1C" w14:textId="1AD46B6D" w:rsidR="00291FD8" w:rsidRPr="00C65BBC" w:rsidRDefault="00291FD8" w:rsidP="00E77D87"/>
    <w:p w14:paraId="5CDF7857" w14:textId="4A1AD237" w:rsidR="00C65BBC" w:rsidRDefault="00C65BBC" w:rsidP="00E77D87"/>
    <w:p w14:paraId="01FF6A24" w14:textId="3E97989B" w:rsidR="00906530" w:rsidRDefault="00906530" w:rsidP="00E77D87"/>
    <w:p w14:paraId="58C64E9F" w14:textId="4AC31236" w:rsidR="00906530" w:rsidRDefault="00906530" w:rsidP="00E77D87"/>
    <w:p w14:paraId="389E8366" w14:textId="3423BB78" w:rsidR="00906530" w:rsidRDefault="00906530" w:rsidP="00E77D87"/>
    <w:p w14:paraId="59DBB525" w14:textId="5CC14261" w:rsidR="00906530" w:rsidRDefault="00906530" w:rsidP="00E77D87"/>
    <w:p w14:paraId="7D1C5954" w14:textId="439BE067" w:rsidR="00906530" w:rsidRDefault="00906530" w:rsidP="00E77D87"/>
    <w:p w14:paraId="4DFCB70B" w14:textId="730702DA" w:rsidR="00906530" w:rsidRDefault="00906530" w:rsidP="00E77D87"/>
    <w:p w14:paraId="6F054793" w14:textId="3897BF46" w:rsidR="00906530" w:rsidRDefault="00906530" w:rsidP="00E77D87"/>
    <w:p w14:paraId="3091B76C" w14:textId="61367FA7" w:rsidR="00906530" w:rsidRDefault="00906530" w:rsidP="00E77D87"/>
    <w:p w14:paraId="02CC0635" w14:textId="6816DF3E" w:rsidR="00906530" w:rsidRDefault="00906530" w:rsidP="00E77D87"/>
    <w:p w14:paraId="507F2C02" w14:textId="39C83B71" w:rsidR="00906530" w:rsidRDefault="00906530" w:rsidP="00E77D87"/>
    <w:p w14:paraId="519D3B69" w14:textId="17FD116D" w:rsidR="00906530" w:rsidRDefault="00906530" w:rsidP="00E77D87"/>
    <w:p w14:paraId="629233C0" w14:textId="1DD82C96" w:rsidR="00906530" w:rsidRDefault="00906530" w:rsidP="00E77D87"/>
    <w:p w14:paraId="0933362F" w14:textId="0CB26BB0" w:rsidR="00906530" w:rsidRDefault="00906530" w:rsidP="00E77D87"/>
    <w:p w14:paraId="33DA04C6" w14:textId="4DF5DE7F" w:rsidR="00906530" w:rsidRDefault="00906530" w:rsidP="00E77D87"/>
    <w:p w14:paraId="6C657B4F" w14:textId="0C38895A" w:rsidR="00906530" w:rsidRDefault="00906530" w:rsidP="00E77D87"/>
    <w:p w14:paraId="6FF9FAB7" w14:textId="64142116" w:rsidR="00906530" w:rsidRDefault="00906530" w:rsidP="00E77D87"/>
    <w:p w14:paraId="73462454" w14:textId="64EC9476" w:rsidR="00906530" w:rsidRDefault="00906530" w:rsidP="00E77D87"/>
    <w:p w14:paraId="63086D13" w14:textId="554D558E" w:rsidR="00906530" w:rsidRDefault="00906530" w:rsidP="00E77D87"/>
    <w:p w14:paraId="12D818C2" w14:textId="073A7ABC" w:rsidR="00906530" w:rsidRDefault="00906530" w:rsidP="00E77D87"/>
    <w:p w14:paraId="698330DF" w14:textId="68F6CC27" w:rsidR="00906530" w:rsidRDefault="00906530" w:rsidP="00E77D87"/>
    <w:p w14:paraId="69491086" w14:textId="11EA8C1B" w:rsidR="00906530" w:rsidRDefault="00906530" w:rsidP="00E77D87"/>
    <w:p w14:paraId="6E0D99EF" w14:textId="77777777" w:rsidR="00906530" w:rsidRPr="00C65BBC" w:rsidRDefault="00906530" w:rsidP="00E77D87">
      <w:bookmarkStart w:id="0" w:name="_GoBack"/>
      <w:bookmarkEnd w:id="0"/>
    </w:p>
    <w:p w14:paraId="3D01F688" w14:textId="77777777" w:rsidR="00C65BBC" w:rsidRPr="00C65BBC" w:rsidRDefault="00C65BBC" w:rsidP="00E77D87"/>
    <w:p w14:paraId="46CB264D" w14:textId="77777777" w:rsidR="00C65BBC" w:rsidRPr="00C65BBC" w:rsidRDefault="00C65BBC" w:rsidP="00E77D87"/>
    <w:p w14:paraId="44010CD0" w14:textId="77555170" w:rsidR="00C65BBC" w:rsidRPr="00C65BBC" w:rsidRDefault="00C65BBC" w:rsidP="00E77D87"/>
    <w:p w14:paraId="6229F3C3" w14:textId="4084DC37" w:rsidR="00291FD8" w:rsidRPr="00C65BBC" w:rsidRDefault="00291FD8" w:rsidP="00C65BBC">
      <w:pPr>
        <w:jc w:val="center"/>
      </w:pPr>
      <w:r w:rsidRPr="00C65BBC">
        <w:t>References</w:t>
      </w:r>
    </w:p>
    <w:p w14:paraId="6D768904" w14:textId="1AE32E17" w:rsidR="00291FD8" w:rsidRPr="00C65BBC" w:rsidRDefault="00291FD8" w:rsidP="00C65BBC">
      <w:pPr>
        <w:ind w:left="720" w:hanging="720"/>
        <w:rPr>
          <w:color w:val="222222"/>
          <w:shd w:val="clear" w:color="auto" w:fill="FFFFFF"/>
        </w:rPr>
      </w:pPr>
      <w:r w:rsidRPr="00C65BBC">
        <w:rPr>
          <w:color w:val="222222"/>
          <w:shd w:val="clear" w:color="auto" w:fill="FFFFFF"/>
        </w:rPr>
        <w:t>Kazerouni, A., Zhao, Q., Xie, J., Tata, S., &amp; Najork, M. (2020). Active Learning for Skewed Data Sets. </w:t>
      </w:r>
      <w:r w:rsidRPr="00C65BBC">
        <w:rPr>
          <w:i/>
          <w:iCs/>
          <w:color w:val="222222"/>
          <w:shd w:val="clear" w:color="auto" w:fill="FFFFFF"/>
        </w:rPr>
        <w:t>arXiv preprint arXiv:2005.11442</w:t>
      </w:r>
      <w:r w:rsidRPr="00C65BBC">
        <w:rPr>
          <w:color w:val="222222"/>
          <w:shd w:val="clear" w:color="auto" w:fill="FFFFFF"/>
        </w:rPr>
        <w:t>.</w:t>
      </w:r>
    </w:p>
    <w:p w14:paraId="777360E6" w14:textId="77777777" w:rsidR="00291FD8" w:rsidRPr="00C65BBC" w:rsidRDefault="00291FD8" w:rsidP="00C65BBC">
      <w:pPr>
        <w:ind w:left="720" w:hanging="720"/>
      </w:pPr>
      <w:r w:rsidRPr="00C65BBC">
        <w:rPr>
          <w:color w:val="222222"/>
          <w:shd w:val="clear" w:color="auto" w:fill="FFFFFF"/>
        </w:rPr>
        <w:t>McCauley, S., Mikkelsen, J. W., &amp; Pagh, R. (2018, May). Set similarity search for skewed data. In </w:t>
      </w:r>
      <w:r w:rsidRPr="00C65BBC">
        <w:rPr>
          <w:i/>
          <w:iCs/>
          <w:color w:val="222222"/>
          <w:shd w:val="clear" w:color="auto" w:fill="FFFFFF"/>
        </w:rPr>
        <w:t>Proceedings of the 37th ACM SIGMOD-SIGACT-SIGAI Symposium on Principles of Database Systems</w:t>
      </w:r>
      <w:r w:rsidRPr="00C65BBC">
        <w:rPr>
          <w:color w:val="222222"/>
          <w:shd w:val="clear" w:color="auto" w:fill="FFFFFF"/>
        </w:rPr>
        <w:t> (pp. 63-74).</w:t>
      </w:r>
    </w:p>
    <w:sectPr w:rsidR="00291FD8" w:rsidRPr="00C65BBC" w:rsidSect="00E26AA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5D0591"/>
    <w:multiLevelType w:val="hybridMultilevel"/>
    <w:tmpl w:val="421A5B52"/>
    <w:lvl w:ilvl="0" w:tplc="04090005">
      <w:start w:val="1"/>
      <w:numFmt w:val="bullet"/>
      <w:lvlText w:val=""/>
      <w:lvlJc w:val="left"/>
      <w:pPr>
        <w:tabs>
          <w:tab w:val="num" w:pos="1440"/>
        </w:tabs>
        <w:ind w:left="1440" w:hanging="360"/>
      </w:pPr>
      <w:rPr>
        <w:rFonts w:ascii="Wingdings" w:hAnsi="Wingdings" w:hint="default"/>
      </w:rPr>
    </w:lvl>
    <w:lvl w:ilvl="1" w:tplc="0409000D">
      <w:start w:val="1"/>
      <w:numFmt w:val="bullet"/>
      <w:lvlText w:val=""/>
      <w:lvlJc w:val="left"/>
      <w:pPr>
        <w:tabs>
          <w:tab w:val="num" w:pos="2160"/>
        </w:tabs>
        <w:ind w:left="2160" w:hanging="360"/>
      </w:pPr>
      <w:rPr>
        <w:rFonts w:ascii="Wingdings" w:hAnsi="Wingdings"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1D613DB9"/>
    <w:multiLevelType w:val="hybridMultilevel"/>
    <w:tmpl w:val="7EDC24D6"/>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4705F34"/>
    <w:multiLevelType w:val="multilevel"/>
    <w:tmpl w:val="C0062CA2"/>
    <w:lvl w:ilvl="0">
      <w:start w:val="1"/>
      <w:numFmt w:val="bullet"/>
      <w:lvlText w:val=""/>
      <w:lvlJc w:val="left"/>
      <w:pPr>
        <w:tabs>
          <w:tab w:val="num" w:pos="1440"/>
        </w:tabs>
        <w:ind w:left="1440" w:hanging="360"/>
      </w:pPr>
      <w:rPr>
        <w:rFonts w:ascii="Wingdings" w:hAnsi="Wingdings" w:hint="default"/>
      </w:rPr>
    </w:lvl>
    <w:lvl w:ilvl="1">
      <w:start w:val="1"/>
      <w:numFmt w:val="decimal"/>
      <w:lvlText w:val="%2."/>
      <w:lvlJc w:val="left"/>
      <w:pPr>
        <w:tabs>
          <w:tab w:val="num" w:pos="2160"/>
        </w:tabs>
        <w:ind w:left="2160" w:hanging="360"/>
      </w:pPr>
      <w:rPr>
        <w:rFonts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444B27C9"/>
    <w:multiLevelType w:val="hybridMultilevel"/>
    <w:tmpl w:val="EDA8EE0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79894271"/>
    <w:multiLevelType w:val="hybridMultilevel"/>
    <w:tmpl w:val="A2F4D81C"/>
    <w:lvl w:ilvl="0" w:tplc="0409000F">
      <w:start w:val="1"/>
      <w:numFmt w:val="decimal"/>
      <w:lvlText w:val="%1."/>
      <w:lvlJc w:val="left"/>
      <w:pPr>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2"/>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2B28"/>
    <w:rsid w:val="00071961"/>
    <w:rsid w:val="000A08B4"/>
    <w:rsid w:val="000B3F2F"/>
    <w:rsid w:val="001243BF"/>
    <w:rsid w:val="00131046"/>
    <w:rsid w:val="001561F7"/>
    <w:rsid w:val="00157E08"/>
    <w:rsid w:val="00172C57"/>
    <w:rsid w:val="00215AFE"/>
    <w:rsid w:val="0024329F"/>
    <w:rsid w:val="002562FF"/>
    <w:rsid w:val="00287820"/>
    <w:rsid w:val="00291FD8"/>
    <w:rsid w:val="00296226"/>
    <w:rsid w:val="002D1309"/>
    <w:rsid w:val="002F2470"/>
    <w:rsid w:val="003053F5"/>
    <w:rsid w:val="00322F03"/>
    <w:rsid w:val="00341060"/>
    <w:rsid w:val="00355823"/>
    <w:rsid w:val="00372B89"/>
    <w:rsid w:val="00391878"/>
    <w:rsid w:val="003D2FDB"/>
    <w:rsid w:val="003F3C77"/>
    <w:rsid w:val="004007D1"/>
    <w:rsid w:val="00420B62"/>
    <w:rsid w:val="00483E06"/>
    <w:rsid w:val="004B3807"/>
    <w:rsid w:val="004B4181"/>
    <w:rsid w:val="00526938"/>
    <w:rsid w:val="00535D6C"/>
    <w:rsid w:val="00576478"/>
    <w:rsid w:val="005D0025"/>
    <w:rsid w:val="005D40BD"/>
    <w:rsid w:val="005E0F92"/>
    <w:rsid w:val="00640C0E"/>
    <w:rsid w:val="006564E0"/>
    <w:rsid w:val="006576CE"/>
    <w:rsid w:val="00664DD8"/>
    <w:rsid w:val="00690366"/>
    <w:rsid w:val="006A0FDE"/>
    <w:rsid w:val="006A2B28"/>
    <w:rsid w:val="006B0358"/>
    <w:rsid w:val="007372F7"/>
    <w:rsid w:val="00740FFB"/>
    <w:rsid w:val="007B6C89"/>
    <w:rsid w:val="007D33BD"/>
    <w:rsid w:val="00801708"/>
    <w:rsid w:val="00890202"/>
    <w:rsid w:val="008C1901"/>
    <w:rsid w:val="008C1C63"/>
    <w:rsid w:val="00906530"/>
    <w:rsid w:val="009255C3"/>
    <w:rsid w:val="00937D84"/>
    <w:rsid w:val="00972545"/>
    <w:rsid w:val="009B524A"/>
    <w:rsid w:val="009F4EA4"/>
    <w:rsid w:val="00A017EC"/>
    <w:rsid w:val="00A95BEA"/>
    <w:rsid w:val="00AC7A14"/>
    <w:rsid w:val="00AE5729"/>
    <w:rsid w:val="00B6039A"/>
    <w:rsid w:val="00B654C7"/>
    <w:rsid w:val="00B75AF2"/>
    <w:rsid w:val="00C37B56"/>
    <w:rsid w:val="00C52F6A"/>
    <w:rsid w:val="00C65BBC"/>
    <w:rsid w:val="00CB1C08"/>
    <w:rsid w:val="00CC4823"/>
    <w:rsid w:val="00D0625F"/>
    <w:rsid w:val="00D1329A"/>
    <w:rsid w:val="00DC7253"/>
    <w:rsid w:val="00E25AE0"/>
    <w:rsid w:val="00E26AAF"/>
    <w:rsid w:val="00E438E5"/>
    <w:rsid w:val="00E77D87"/>
    <w:rsid w:val="00EA3A12"/>
    <w:rsid w:val="00EC5241"/>
    <w:rsid w:val="00F07AAD"/>
    <w:rsid w:val="00F31FD6"/>
    <w:rsid w:val="00FA72ED"/>
    <w:rsid w:val="00FD08E5"/>
    <w:rsid w:val="00FD4D8F"/>
    <w:rsid w:val="00FE54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FC7DF0E"/>
  <w15:docId w15:val="{0B2C6474-031B-7E44-9195-9135F5D35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B03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90202"/>
    <w:pPr>
      <w:ind w:left="720"/>
      <w:contextualSpacing/>
    </w:pPr>
  </w:style>
  <w:style w:type="paragraph" w:customStyle="1" w:styleId="sub-Q">
    <w:name w:val="sub-Q"/>
    <w:basedOn w:val="Normal"/>
    <w:rsid w:val="00E77D87"/>
    <w:pPr>
      <w:tabs>
        <w:tab w:val="left" w:pos="432"/>
      </w:tabs>
      <w:ind w:left="864" w:hanging="864"/>
      <w:jc w:val="both"/>
    </w:pPr>
    <w:rPr>
      <w:rFonts w:ascii="Book Antiqua" w:hAnsi="Book Antiqua"/>
      <w:sz w:val="21"/>
      <w:szCs w:val="20"/>
    </w:rPr>
  </w:style>
  <w:style w:type="paragraph" w:styleId="BalloonText">
    <w:name w:val="Balloon Text"/>
    <w:basedOn w:val="Normal"/>
    <w:link w:val="BalloonTextChar"/>
    <w:semiHidden/>
    <w:unhideWhenUsed/>
    <w:rsid w:val="004007D1"/>
    <w:rPr>
      <w:sz w:val="18"/>
      <w:szCs w:val="18"/>
    </w:rPr>
  </w:style>
  <w:style w:type="character" w:customStyle="1" w:styleId="BalloonTextChar">
    <w:name w:val="Balloon Text Char"/>
    <w:basedOn w:val="DefaultParagraphFont"/>
    <w:link w:val="BalloonText"/>
    <w:semiHidden/>
    <w:rsid w:val="004007D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5973124">
      <w:bodyDiv w:val="1"/>
      <w:marLeft w:val="0"/>
      <w:marRight w:val="0"/>
      <w:marTop w:val="0"/>
      <w:marBottom w:val="0"/>
      <w:divBdr>
        <w:top w:val="none" w:sz="0" w:space="0" w:color="auto"/>
        <w:left w:val="none" w:sz="0" w:space="0" w:color="auto"/>
        <w:bottom w:val="none" w:sz="0" w:space="0" w:color="auto"/>
        <w:right w:val="none" w:sz="0" w:space="0" w:color="auto"/>
      </w:divBdr>
      <w:divsChild>
        <w:div w:id="161430471">
          <w:marLeft w:val="0"/>
          <w:marRight w:val="0"/>
          <w:marTop w:val="0"/>
          <w:marBottom w:val="0"/>
          <w:divBdr>
            <w:top w:val="none" w:sz="0" w:space="0" w:color="auto"/>
            <w:left w:val="none" w:sz="0" w:space="0" w:color="auto"/>
            <w:bottom w:val="none" w:sz="0" w:space="0" w:color="auto"/>
            <w:right w:val="none" w:sz="0" w:space="0" w:color="auto"/>
          </w:divBdr>
        </w:div>
        <w:div w:id="369383732">
          <w:marLeft w:val="0"/>
          <w:marRight w:val="0"/>
          <w:marTop w:val="0"/>
          <w:marBottom w:val="0"/>
          <w:divBdr>
            <w:top w:val="none" w:sz="0" w:space="0" w:color="auto"/>
            <w:left w:val="none" w:sz="0" w:space="0" w:color="auto"/>
            <w:bottom w:val="none" w:sz="0" w:space="0" w:color="auto"/>
            <w:right w:val="none" w:sz="0" w:space="0" w:color="auto"/>
          </w:divBdr>
        </w:div>
        <w:div w:id="1076786958">
          <w:marLeft w:val="0"/>
          <w:marRight w:val="0"/>
          <w:marTop w:val="0"/>
          <w:marBottom w:val="0"/>
          <w:divBdr>
            <w:top w:val="none" w:sz="0" w:space="0" w:color="auto"/>
            <w:left w:val="none" w:sz="0" w:space="0" w:color="auto"/>
            <w:bottom w:val="none" w:sz="0" w:space="0" w:color="auto"/>
            <w:right w:val="none" w:sz="0" w:space="0" w:color="auto"/>
          </w:divBdr>
        </w:div>
        <w:div w:id="1472794400">
          <w:marLeft w:val="0"/>
          <w:marRight w:val="0"/>
          <w:marTop w:val="0"/>
          <w:marBottom w:val="0"/>
          <w:divBdr>
            <w:top w:val="none" w:sz="0" w:space="0" w:color="auto"/>
            <w:left w:val="none" w:sz="0" w:space="0" w:color="auto"/>
            <w:bottom w:val="none" w:sz="0" w:space="0" w:color="auto"/>
            <w:right w:val="none" w:sz="0" w:space="0" w:color="auto"/>
          </w:divBdr>
        </w:div>
        <w:div w:id="1891531178">
          <w:marLeft w:val="0"/>
          <w:marRight w:val="0"/>
          <w:marTop w:val="0"/>
          <w:marBottom w:val="0"/>
          <w:divBdr>
            <w:top w:val="none" w:sz="0" w:space="0" w:color="auto"/>
            <w:left w:val="none" w:sz="0" w:space="0" w:color="auto"/>
            <w:bottom w:val="none" w:sz="0" w:space="0" w:color="auto"/>
            <w:right w:val="none" w:sz="0" w:space="0" w:color="auto"/>
          </w:divBdr>
        </w:div>
      </w:divsChild>
    </w:div>
    <w:div w:id="1482841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645</Words>
  <Characters>3681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UMKC</Company>
  <LinksUpToDate>false</LinksUpToDate>
  <CharactersWithSpaces>4318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 Hardie</dc:creator>
  <cp:lastModifiedBy>HP</cp:lastModifiedBy>
  <cp:revision>2</cp:revision>
  <dcterms:created xsi:type="dcterms:W3CDTF">2021-03-02T05:46:00Z</dcterms:created>
  <dcterms:modified xsi:type="dcterms:W3CDTF">2021-03-02T05:46:00Z</dcterms:modified>
</cp:coreProperties>
</file>